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CFC" w:rsidRDefault="006A70F7" w:rsidP="00065CFC">
      <w:pPr>
        <w:spacing w:after="0"/>
        <w:rPr>
          <w:rFonts w:ascii="Arial" w:hAnsi="Arial" w:cs="Arial"/>
          <w:b/>
        </w:rPr>
      </w:pPr>
      <w:r>
        <w:rPr>
          <w:rFonts w:ascii="Arial" w:hAnsi="Arial" w:cs="Arial"/>
          <w:b/>
        </w:rPr>
        <w:t>DATA AND SAFETY MONITORING PLAN</w:t>
      </w:r>
    </w:p>
    <w:p w:rsidR="00065CFC" w:rsidRDefault="00065CFC" w:rsidP="00065CFC">
      <w:pPr>
        <w:spacing w:after="0"/>
        <w:rPr>
          <w:rFonts w:ascii="Arial" w:hAnsi="Arial" w:cs="Arial"/>
          <w:i/>
        </w:rPr>
      </w:pPr>
      <w:r w:rsidRPr="00D02956">
        <w:rPr>
          <w:rFonts w:ascii="Arial" w:hAnsi="Arial" w:cs="Arial"/>
          <w:i/>
        </w:rPr>
        <w:t>(If the proposal meets the</w:t>
      </w:r>
      <w:r>
        <w:rPr>
          <w:rFonts w:ascii="Arial" w:hAnsi="Arial" w:cs="Arial"/>
          <w:i/>
        </w:rPr>
        <w:t xml:space="preserve"> NIH</w:t>
      </w:r>
      <w:r w:rsidRPr="00D02956">
        <w:rPr>
          <w:rFonts w:ascii="Arial" w:hAnsi="Arial" w:cs="Arial"/>
          <w:i/>
        </w:rPr>
        <w:t xml:space="preserve"> definition of a clinical trial must complete this section)</w:t>
      </w:r>
    </w:p>
    <w:p w:rsidR="006A70F7" w:rsidRPr="00D02956" w:rsidRDefault="006A70F7" w:rsidP="00065CFC">
      <w:pPr>
        <w:spacing w:after="0"/>
        <w:rPr>
          <w:rFonts w:ascii="Arial" w:hAnsi="Arial" w:cs="Arial"/>
          <w:i/>
        </w:rPr>
      </w:pPr>
    </w:p>
    <w:p w:rsidR="006A70F7" w:rsidRPr="006A70F7" w:rsidRDefault="006A70F7" w:rsidP="006A70F7">
      <w:pPr>
        <w:pStyle w:val="ListParagraph"/>
        <w:numPr>
          <w:ilvl w:val="0"/>
          <w:numId w:val="6"/>
        </w:numPr>
        <w:spacing w:after="0"/>
        <w:rPr>
          <w:rFonts w:ascii="Arial" w:hAnsi="Arial" w:cs="Arial"/>
          <w:b/>
        </w:rPr>
      </w:pPr>
      <w:r w:rsidRPr="006A70F7">
        <w:rPr>
          <w:rFonts w:ascii="Arial" w:hAnsi="Arial" w:cs="Arial"/>
          <w:b/>
        </w:rPr>
        <w:t>Safety Monitoring and Period of Observation</w:t>
      </w:r>
    </w:p>
    <w:p w:rsidR="00907C10" w:rsidRPr="00907C10" w:rsidRDefault="00907C10" w:rsidP="00907C10">
      <w:pPr>
        <w:numPr>
          <w:ilvl w:val="0"/>
          <w:numId w:val="4"/>
        </w:numPr>
        <w:shd w:val="clear" w:color="auto" w:fill="FFFFFF"/>
        <w:spacing w:after="0" w:line="240" w:lineRule="auto"/>
        <w:rPr>
          <w:rFonts w:ascii="Arial" w:eastAsia="Times New Roman" w:hAnsi="Arial" w:cs="Arial"/>
          <w:i/>
          <w:color w:val="444444"/>
        </w:rPr>
      </w:pPr>
      <w:r w:rsidRPr="00907C10">
        <w:rPr>
          <w:rFonts w:ascii="Arial" w:eastAsia="Times New Roman" w:hAnsi="Arial" w:cs="Arial"/>
          <w:i/>
          <w:color w:val="444444"/>
        </w:rPr>
        <w:t>Indicate how many people and what type of entity will provide the monitoring. Include</w:t>
      </w:r>
      <w:r>
        <w:rPr>
          <w:rFonts w:ascii="Arial" w:eastAsia="Times New Roman" w:hAnsi="Arial" w:cs="Arial"/>
          <w:i/>
          <w:color w:val="444444"/>
        </w:rPr>
        <w:t xml:space="preserve"> </w:t>
      </w:r>
      <w:r w:rsidRPr="00907C10">
        <w:rPr>
          <w:rFonts w:ascii="Arial" w:eastAsia="Times New Roman" w:hAnsi="Arial" w:cs="Arial"/>
          <w:i/>
          <w:color w:val="444444"/>
        </w:rPr>
        <w:t>such details as whether a single person, multiple people, or a data safety monitoring</w:t>
      </w:r>
      <w:r>
        <w:rPr>
          <w:rFonts w:ascii="Arial" w:eastAsia="Times New Roman" w:hAnsi="Arial" w:cs="Arial"/>
          <w:i/>
          <w:color w:val="444444"/>
        </w:rPr>
        <w:t xml:space="preserve"> </w:t>
      </w:r>
      <w:r w:rsidRPr="00907C10">
        <w:rPr>
          <w:rFonts w:ascii="Arial" w:eastAsia="Times New Roman" w:hAnsi="Arial" w:cs="Arial"/>
          <w:i/>
          <w:color w:val="444444"/>
        </w:rPr>
        <w:t>board will provide monitoring. Also indicate what type of entity will provide the</w:t>
      </w:r>
      <w:r>
        <w:rPr>
          <w:rFonts w:ascii="Arial" w:eastAsia="Times New Roman" w:hAnsi="Arial" w:cs="Arial"/>
          <w:i/>
          <w:color w:val="444444"/>
        </w:rPr>
        <w:t xml:space="preserve"> </w:t>
      </w:r>
      <w:r w:rsidRPr="00907C10">
        <w:rPr>
          <w:rFonts w:ascii="Arial" w:eastAsia="Times New Roman" w:hAnsi="Arial" w:cs="Arial"/>
          <w:i/>
          <w:color w:val="444444"/>
        </w:rPr>
        <w:t>monitoring (e.g., PD/PI, Independent Safety Monitor/Designated Medical Monitor,</w:t>
      </w:r>
      <w:r>
        <w:rPr>
          <w:rFonts w:ascii="Arial" w:eastAsia="Times New Roman" w:hAnsi="Arial" w:cs="Arial"/>
          <w:i/>
          <w:color w:val="444444"/>
        </w:rPr>
        <w:t xml:space="preserve"> </w:t>
      </w:r>
      <w:r w:rsidRPr="00907C10">
        <w:rPr>
          <w:rFonts w:ascii="Arial" w:eastAsia="Times New Roman" w:hAnsi="Arial" w:cs="Arial"/>
          <w:i/>
          <w:color w:val="444444"/>
        </w:rPr>
        <w:t>Independent Monitoring Committee, Safety Monitoring Committee, Data and Safety</w:t>
      </w:r>
      <w:r>
        <w:rPr>
          <w:rFonts w:ascii="Arial" w:eastAsia="Times New Roman" w:hAnsi="Arial" w:cs="Arial"/>
          <w:i/>
          <w:color w:val="444444"/>
        </w:rPr>
        <w:t xml:space="preserve"> Monitoring Board, etc.).</w:t>
      </w:r>
    </w:p>
    <w:p w:rsidR="006A70F7" w:rsidRPr="006A70F7" w:rsidRDefault="006A70F7" w:rsidP="006A70F7">
      <w:pPr>
        <w:numPr>
          <w:ilvl w:val="0"/>
          <w:numId w:val="4"/>
        </w:numPr>
        <w:shd w:val="clear" w:color="auto" w:fill="FFFFFF"/>
        <w:tabs>
          <w:tab w:val="clear" w:pos="720"/>
          <w:tab w:val="num" w:pos="389"/>
        </w:tabs>
        <w:spacing w:after="0" w:line="240" w:lineRule="auto"/>
        <w:rPr>
          <w:rFonts w:ascii="Arial" w:eastAsia="Times New Roman" w:hAnsi="Arial" w:cs="Arial"/>
          <w:i/>
          <w:color w:val="444444"/>
        </w:rPr>
      </w:pPr>
      <w:r w:rsidRPr="006A70F7">
        <w:rPr>
          <w:rFonts w:ascii="Arial" w:eastAsia="Times New Roman" w:hAnsi="Arial" w:cs="Arial"/>
          <w:i/>
          <w:color w:val="444444"/>
        </w:rPr>
        <w:t>The overall framework for safety monitoring and what information will be monitored.</w:t>
      </w:r>
    </w:p>
    <w:p w:rsidR="006A70F7" w:rsidRPr="006A70F7" w:rsidRDefault="006A70F7" w:rsidP="006A70F7">
      <w:pPr>
        <w:numPr>
          <w:ilvl w:val="0"/>
          <w:numId w:val="5"/>
        </w:numPr>
        <w:shd w:val="clear" w:color="auto" w:fill="FFFFFF"/>
        <w:tabs>
          <w:tab w:val="clear" w:pos="720"/>
          <w:tab w:val="num" w:pos="389"/>
        </w:tabs>
        <w:spacing w:after="0" w:line="240" w:lineRule="auto"/>
        <w:rPr>
          <w:rFonts w:ascii="Arial" w:eastAsia="Times New Roman" w:hAnsi="Arial" w:cs="Arial"/>
          <w:i/>
          <w:color w:val="444444"/>
        </w:rPr>
      </w:pPr>
      <w:r w:rsidRPr="006A70F7">
        <w:rPr>
          <w:rFonts w:ascii="Arial" w:eastAsia="Times New Roman" w:hAnsi="Arial" w:cs="Arial"/>
          <w:i/>
          <w:color w:val="444444"/>
        </w:rPr>
        <w:t>The frequency of monitoring, including any plans for interim analysis and stopping rules (if applicable).</w:t>
      </w:r>
    </w:p>
    <w:p w:rsidR="00065CFC" w:rsidRDefault="00065CFC" w:rsidP="00065CFC">
      <w:pPr>
        <w:spacing w:after="0"/>
        <w:rPr>
          <w:rFonts w:ascii="Arial" w:hAnsi="Arial" w:cs="Arial"/>
          <w:b/>
        </w:rPr>
      </w:pPr>
    </w:p>
    <w:p w:rsidR="00065CFC" w:rsidRPr="006A70F7" w:rsidRDefault="00065CFC" w:rsidP="006A70F7">
      <w:pPr>
        <w:pStyle w:val="ListParagraph"/>
        <w:numPr>
          <w:ilvl w:val="0"/>
          <w:numId w:val="6"/>
        </w:numPr>
        <w:spacing w:after="0"/>
        <w:rPr>
          <w:rFonts w:ascii="Arial" w:hAnsi="Arial" w:cs="Arial"/>
          <w:b/>
        </w:rPr>
      </w:pPr>
      <w:r w:rsidRPr="006A70F7">
        <w:rPr>
          <w:rFonts w:ascii="Arial" w:hAnsi="Arial" w:cs="Arial"/>
          <w:b/>
        </w:rPr>
        <w:t>Adverse Events</w:t>
      </w:r>
    </w:p>
    <w:p w:rsidR="00065CFC" w:rsidRDefault="00065CFC" w:rsidP="00065CFC">
      <w:pPr>
        <w:spacing w:after="0"/>
        <w:rPr>
          <w:rFonts w:ascii="Arial" w:hAnsi="Arial" w:cs="Arial"/>
          <w:b/>
        </w:rPr>
      </w:pPr>
    </w:p>
    <w:p w:rsidR="00647F07" w:rsidRPr="00907C10" w:rsidRDefault="00907C10" w:rsidP="00907C10">
      <w:pPr>
        <w:pStyle w:val="ListParagraph"/>
        <w:numPr>
          <w:ilvl w:val="0"/>
          <w:numId w:val="15"/>
        </w:numPr>
        <w:spacing w:after="0"/>
        <w:rPr>
          <w:rFonts w:ascii="Arial" w:hAnsi="Arial" w:cs="Arial"/>
          <w:i/>
        </w:rPr>
      </w:pPr>
      <w:r w:rsidRPr="00907C10">
        <w:rPr>
          <w:rFonts w:ascii="Arial" w:hAnsi="Arial" w:cs="Arial"/>
          <w:i/>
        </w:rPr>
        <w:t>The process by which Adverse Events (AEs), including Serious Adverse Events (SAEs) such as deaths, hospitalizations, and life threatening events and Unanticipated Problems (UPs), will be managed and reported, as required, to the IRB, the person or group responsible for monitoring, the awarding IC, the NIH Office of Biotechnology Activities, and the Food and Drug Administration.</w:t>
      </w:r>
      <w:r w:rsidRPr="00907C10">
        <w:rPr>
          <w:rFonts w:ascii="Arial" w:hAnsi="Arial" w:cs="Arial"/>
          <w:i/>
        </w:rPr>
        <w:cr/>
      </w:r>
    </w:p>
    <w:p w:rsidR="002913E4" w:rsidRPr="00526931" w:rsidRDefault="004F1D1E" w:rsidP="000363A9">
      <w:pPr>
        <w:spacing w:after="0"/>
        <w:ind w:left="720"/>
        <w:rPr>
          <w:rFonts w:ascii="Arial" w:hAnsi="Arial" w:cs="Arial"/>
        </w:rPr>
      </w:pPr>
      <w:r>
        <w:rPr>
          <w:rFonts w:ascii="Arial" w:hAnsi="Arial" w:cs="Arial"/>
        </w:rPr>
        <w:t xml:space="preserve">TIPS: The definitions and the reporting requirements for SAEs, UPs </w:t>
      </w:r>
      <w:r w:rsidR="000363A9">
        <w:rPr>
          <w:rFonts w:ascii="Arial" w:hAnsi="Arial" w:cs="Arial"/>
        </w:rPr>
        <w:t xml:space="preserve">are usually in the protocol or in the IRB-HSR </w:t>
      </w:r>
      <w:r>
        <w:rPr>
          <w:rFonts w:ascii="Arial" w:hAnsi="Arial" w:cs="Arial"/>
        </w:rPr>
        <w:t>application.</w:t>
      </w:r>
    </w:p>
    <w:p w:rsidR="00065CFC" w:rsidRDefault="00065CFC" w:rsidP="00065CFC">
      <w:pPr>
        <w:spacing w:after="0"/>
        <w:rPr>
          <w:rFonts w:ascii="Arial" w:hAnsi="Arial" w:cs="Arial"/>
          <w:b/>
        </w:rPr>
      </w:pPr>
    </w:p>
    <w:p w:rsidR="00065CFC" w:rsidRPr="00051CAC" w:rsidRDefault="00051CAC" w:rsidP="00051CAC">
      <w:pPr>
        <w:pStyle w:val="ListParagraph"/>
        <w:numPr>
          <w:ilvl w:val="0"/>
          <w:numId w:val="6"/>
        </w:numPr>
        <w:spacing w:after="0"/>
        <w:rPr>
          <w:rFonts w:ascii="Arial" w:hAnsi="Arial" w:cs="Arial"/>
          <w:b/>
        </w:rPr>
      </w:pPr>
      <w:r>
        <w:rPr>
          <w:rFonts w:ascii="Arial" w:hAnsi="Arial" w:cs="Arial"/>
          <w:b/>
        </w:rPr>
        <w:t>Trial Monitoring Responsibility</w:t>
      </w:r>
    </w:p>
    <w:p w:rsidR="00647F07" w:rsidRPr="00647F07" w:rsidRDefault="00647F07" w:rsidP="00647F07">
      <w:pPr>
        <w:shd w:val="clear" w:color="auto" w:fill="FFFFFF"/>
        <w:spacing w:before="100" w:beforeAutospacing="1" w:after="100" w:afterAutospacing="1" w:line="312" w:lineRule="atLeast"/>
        <w:ind w:left="360"/>
        <w:rPr>
          <w:rFonts w:ascii="Arial" w:eastAsia="Times New Roman" w:hAnsi="Arial" w:cs="Arial"/>
          <w:i/>
          <w:color w:val="444444"/>
        </w:rPr>
      </w:pPr>
      <w:r w:rsidRPr="00647F07">
        <w:rPr>
          <w:rFonts w:ascii="Arial" w:eastAsia="Times New Roman" w:hAnsi="Arial" w:cs="Arial"/>
          <w:i/>
          <w:color w:val="444444"/>
        </w:rPr>
        <w:t>The individual(s) or group that will be responsible for trial monitoring and advising the appointing entity. Because the DSMP will depend on potential risks, complexity, and the nature of the trial, a number of options for monitoring are possible. These include, but are not limited to, monitoring by a:</w:t>
      </w:r>
    </w:p>
    <w:p w:rsidR="00647F07" w:rsidRPr="00647F07" w:rsidRDefault="00647F07" w:rsidP="00647F07">
      <w:pPr>
        <w:numPr>
          <w:ilvl w:val="0"/>
          <w:numId w:val="10"/>
        </w:numPr>
        <w:shd w:val="clear" w:color="auto" w:fill="FFFFFF"/>
        <w:spacing w:before="100" w:beforeAutospacing="1" w:after="100" w:afterAutospacing="1" w:line="312" w:lineRule="atLeast"/>
        <w:ind w:left="1350"/>
        <w:rPr>
          <w:rFonts w:ascii="Arial" w:eastAsia="Times New Roman" w:hAnsi="Arial" w:cs="Arial"/>
          <w:i/>
          <w:color w:val="444444"/>
        </w:rPr>
      </w:pPr>
      <w:r w:rsidRPr="00647F07">
        <w:rPr>
          <w:rFonts w:ascii="Arial" w:eastAsia="Times New Roman" w:hAnsi="Arial" w:cs="Arial"/>
          <w:i/>
          <w:color w:val="444444"/>
        </w:rPr>
        <w:t>PD/PI: While the PD/PI must ensure that the trial is conducted according to the approved protocol, in some cases (e.g., low risk trials, not blinded), it may be acceptable for the PD/PI to also be responsible for carrying out the DSMP.</w:t>
      </w:r>
    </w:p>
    <w:p w:rsidR="00647F07" w:rsidRPr="00647F07" w:rsidRDefault="00647F07" w:rsidP="00647F07">
      <w:pPr>
        <w:numPr>
          <w:ilvl w:val="0"/>
          <w:numId w:val="11"/>
        </w:numPr>
        <w:shd w:val="clear" w:color="auto" w:fill="FFFFFF"/>
        <w:spacing w:before="100" w:beforeAutospacing="1" w:after="100" w:afterAutospacing="1" w:line="312" w:lineRule="atLeast"/>
        <w:ind w:left="1350"/>
        <w:rPr>
          <w:rFonts w:ascii="Arial" w:eastAsia="Times New Roman" w:hAnsi="Arial" w:cs="Arial"/>
          <w:i/>
          <w:color w:val="444444"/>
        </w:rPr>
      </w:pPr>
      <w:r w:rsidRPr="00647F07">
        <w:rPr>
          <w:rFonts w:ascii="Arial" w:eastAsia="Times New Roman" w:hAnsi="Arial" w:cs="Arial"/>
          <w:i/>
          <w:color w:val="444444"/>
        </w:rPr>
        <w:t>Independent safety monitor</w:t>
      </w:r>
      <w:r w:rsidR="00276BA7">
        <w:rPr>
          <w:rFonts w:ascii="Arial" w:eastAsia="Times New Roman" w:hAnsi="Arial" w:cs="Arial"/>
          <w:i/>
          <w:color w:val="444444"/>
        </w:rPr>
        <w:t xml:space="preserve"> (ISM)</w:t>
      </w:r>
      <w:r w:rsidRPr="00647F07">
        <w:rPr>
          <w:rFonts w:ascii="Arial" w:eastAsia="Times New Roman" w:hAnsi="Arial" w:cs="Arial"/>
          <w:i/>
          <w:color w:val="444444"/>
        </w:rPr>
        <w:t>/designated medical monitor: a physician or other expert who is independent of the study.</w:t>
      </w:r>
    </w:p>
    <w:p w:rsidR="00647F07" w:rsidRPr="00647F07" w:rsidRDefault="00647F07" w:rsidP="00647F07">
      <w:pPr>
        <w:numPr>
          <w:ilvl w:val="0"/>
          <w:numId w:val="12"/>
        </w:numPr>
        <w:shd w:val="clear" w:color="auto" w:fill="FFFFFF"/>
        <w:spacing w:before="100" w:beforeAutospacing="1" w:after="100" w:afterAutospacing="1" w:line="312" w:lineRule="atLeast"/>
        <w:ind w:left="1350"/>
        <w:rPr>
          <w:rFonts w:ascii="Arial" w:eastAsia="Times New Roman" w:hAnsi="Arial" w:cs="Arial"/>
          <w:i/>
          <w:color w:val="444444"/>
        </w:rPr>
      </w:pPr>
      <w:r w:rsidRPr="00647F07">
        <w:rPr>
          <w:rFonts w:ascii="Arial" w:eastAsia="Times New Roman" w:hAnsi="Arial" w:cs="Arial"/>
          <w:i/>
          <w:color w:val="444444"/>
        </w:rPr>
        <w:t>Independent Monitoring Committee or Safety Monitoring Committee: a small group of independent experts.</w:t>
      </w:r>
    </w:p>
    <w:p w:rsidR="00744953" w:rsidRDefault="000B3EEE" w:rsidP="000B3EEE">
      <w:pPr>
        <w:numPr>
          <w:ilvl w:val="0"/>
          <w:numId w:val="13"/>
        </w:numPr>
        <w:shd w:val="clear" w:color="auto" w:fill="FFFFFF"/>
        <w:spacing w:before="100" w:beforeAutospacing="1" w:after="100" w:afterAutospacing="1" w:line="312" w:lineRule="atLeast"/>
        <w:ind w:left="1350"/>
      </w:pPr>
      <w:hyperlink r:id="rId7" w:anchor="DataandSafetyMonitoringBoardDSMB" w:history="1">
        <w:r w:rsidR="00647F07" w:rsidRPr="00647F07">
          <w:rPr>
            <w:rFonts w:ascii="Arial" w:eastAsia="Times New Roman" w:hAnsi="Arial" w:cs="Arial"/>
            <w:i/>
            <w:color w:val="0000FF"/>
            <w:u w:val="single"/>
          </w:rPr>
          <w:t>Data and Safety Monitoring Board (DSMB)</w:t>
        </w:r>
      </w:hyperlink>
      <w:r w:rsidR="00647F07" w:rsidRPr="00647F07">
        <w:rPr>
          <w:rFonts w:ascii="Arial" w:eastAsia="Times New Roman" w:hAnsi="Arial" w:cs="Arial"/>
          <w:i/>
          <w:color w:val="444444"/>
        </w:rPr>
        <w:t xml:space="preserve">: a formal independent board of experts including investigators and biostatisticians. NIH requires the establishment of DSMBs for multi-site clinical trials involving interventions that entail potential risk to the participants, and generally, for all Phase III clinical trials, although Phase I </w:t>
      </w:r>
      <w:r w:rsidR="00647F07" w:rsidRPr="00647F07">
        <w:rPr>
          <w:rFonts w:ascii="Arial" w:eastAsia="Times New Roman" w:hAnsi="Arial" w:cs="Arial"/>
          <w:i/>
          <w:color w:val="444444"/>
        </w:rPr>
        <w:lastRenderedPageBreak/>
        <w:t>and Phase II clinical trials may also need DSMBs. If a DSMB is used, please describe the general composition of the Board without naming specific individuals.</w:t>
      </w:r>
    </w:p>
    <w:p w:rsidR="00CC6122" w:rsidRPr="00CC6122" w:rsidRDefault="00CC6122" w:rsidP="00CC6122">
      <w:pPr>
        <w:spacing w:after="0" w:line="240" w:lineRule="exact"/>
        <w:jc w:val="both"/>
        <w:rPr>
          <w:rFonts w:ascii="Arial" w:eastAsia="Times New Roman" w:hAnsi="Arial" w:cs="Arial"/>
          <w:i/>
          <w:color w:val="444444"/>
          <w:shd w:val="clear" w:color="auto" w:fill="FFFFFF"/>
        </w:rPr>
      </w:pPr>
      <w:r w:rsidRPr="00CC6122">
        <w:rPr>
          <w:rFonts w:ascii="Arial" w:eastAsia="Times New Roman" w:hAnsi="Arial" w:cs="Arial"/>
          <w:i/>
          <w:color w:val="444444"/>
          <w:shd w:val="clear" w:color="auto" w:fill="FFFFFF"/>
        </w:rPr>
        <w:t xml:space="preserve">For more detailed information follow this link, </w:t>
      </w:r>
      <w:hyperlink r:id="rId8" w:history="1">
        <w:r w:rsidRPr="00CC6122">
          <w:rPr>
            <w:rFonts w:ascii="Arial" w:eastAsia="Times New Roman" w:hAnsi="Arial" w:cs="Arial"/>
            <w:i/>
            <w:color w:val="0000FF"/>
            <w:u w:val="single"/>
            <w:shd w:val="clear" w:color="auto" w:fill="FFFFFF"/>
          </w:rPr>
          <w:t>General Instructions for NIH Forms F</w:t>
        </w:r>
      </w:hyperlink>
      <w:r w:rsidRPr="00CC6122">
        <w:rPr>
          <w:rFonts w:ascii="Arial" w:eastAsia="Times New Roman" w:hAnsi="Arial" w:cs="Arial"/>
          <w:i/>
          <w:color w:val="444444"/>
          <w:shd w:val="clear" w:color="auto" w:fill="FFFFFF"/>
        </w:rPr>
        <w:t xml:space="preserve"> and go to section G.500 and scroll to section </w:t>
      </w:r>
      <w:r>
        <w:rPr>
          <w:rFonts w:ascii="Arial" w:eastAsia="Times New Roman" w:hAnsi="Arial" w:cs="Arial"/>
          <w:i/>
          <w:color w:val="444444"/>
          <w:shd w:val="clear" w:color="auto" w:fill="FFFFFF"/>
        </w:rPr>
        <w:t>3.3</w:t>
      </w:r>
      <w:r w:rsidRPr="00CC6122">
        <w:rPr>
          <w:rFonts w:ascii="Arial" w:eastAsia="Times New Roman" w:hAnsi="Arial" w:cs="Arial"/>
          <w:i/>
          <w:color w:val="444444"/>
          <w:shd w:val="clear" w:color="auto" w:fill="FFFFFF"/>
        </w:rPr>
        <w:t xml:space="preserve">. </w:t>
      </w:r>
    </w:p>
    <w:p w:rsidR="006A0DC8" w:rsidRDefault="006A0DC8" w:rsidP="00647F07">
      <w:pPr>
        <w:ind w:left="360"/>
      </w:pPr>
    </w:p>
    <w:p w:rsidR="00930AAF" w:rsidRDefault="00930AAF" w:rsidP="000B3EEE">
      <w:pPr>
        <w:pStyle w:val="ListParagraph"/>
        <w:spacing w:line="240" w:lineRule="exact"/>
        <w:ind w:left="360"/>
        <w:rPr>
          <w:rFonts w:ascii="Arial" w:hAnsi="Arial" w:cs="Arial"/>
        </w:rPr>
      </w:pPr>
    </w:p>
    <w:p w:rsidR="00930AAF" w:rsidRDefault="00930AAF" w:rsidP="000B3EEE">
      <w:pPr>
        <w:pStyle w:val="ListParagraph"/>
        <w:spacing w:line="240" w:lineRule="exact"/>
        <w:ind w:left="360"/>
        <w:rPr>
          <w:rFonts w:ascii="Arial" w:hAnsi="Arial" w:cs="Arial"/>
        </w:rPr>
      </w:pPr>
      <w:r w:rsidRPr="00053FF9">
        <w:rPr>
          <w:rFonts w:ascii="Arial" w:hAnsi="Arial" w:cs="Arial"/>
        </w:rPr>
        <w:t xml:space="preserve">Example: </w:t>
      </w:r>
    </w:p>
    <w:p w:rsidR="00AB2E63" w:rsidRDefault="00930AAF" w:rsidP="000B3EEE">
      <w:pPr>
        <w:pStyle w:val="ListParagraph"/>
        <w:spacing w:line="240" w:lineRule="exact"/>
        <w:ind w:left="360"/>
        <w:rPr>
          <w:rFonts w:ascii="Arial" w:hAnsi="Arial" w:cs="Arial"/>
        </w:rPr>
      </w:pPr>
      <w:r w:rsidRPr="00930AAF">
        <w:rPr>
          <w:rFonts w:ascii="Arial" w:hAnsi="Arial" w:cs="Arial"/>
        </w:rPr>
        <w:t xml:space="preserve">This </w:t>
      </w:r>
      <w:r w:rsidR="002478E4">
        <w:rPr>
          <w:rFonts w:ascii="Arial" w:hAnsi="Arial" w:cs="Arial"/>
        </w:rPr>
        <w:t>research project</w:t>
      </w:r>
      <w:r w:rsidRPr="00930AAF">
        <w:rPr>
          <w:rFonts w:ascii="Arial" w:hAnsi="Arial" w:cs="Arial"/>
        </w:rPr>
        <w:t xml:space="preserve"> </w:t>
      </w:r>
      <w:r w:rsidR="00782414">
        <w:rPr>
          <w:rFonts w:ascii="Arial" w:hAnsi="Arial" w:cs="Arial"/>
        </w:rPr>
        <w:t>involves</w:t>
      </w:r>
      <w:r w:rsidRPr="00930AAF">
        <w:rPr>
          <w:rFonts w:ascii="Arial" w:hAnsi="Arial" w:cs="Arial"/>
        </w:rPr>
        <w:t xml:space="preserve"> an Independent Safety Monitor (ISM)</w:t>
      </w:r>
      <w:r w:rsidR="00060140">
        <w:rPr>
          <w:rFonts w:ascii="Arial" w:hAnsi="Arial" w:cs="Arial"/>
        </w:rPr>
        <w:t xml:space="preserve"> and/or a Data and Safety Monitoring Board (DSMB)</w:t>
      </w:r>
      <w:r w:rsidRPr="00930AAF">
        <w:rPr>
          <w:rFonts w:ascii="Arial" w:hAnsi="Arial" w:cs="Arial"/>
        </w:rPr>
        <w:t xml:space="preserve">. The ISM </w:t>
      </w:r>
      <w:r w:rsidR="00DC2EA9">
        <w:rPr>
          <w:rFonts w:ascii="Arial" w:hAnsi="Arial" w:cs="Arial"/>
        </w:rPr>
        <w:t>will be a</w:t>
      </w:r>
      <w:r w:rsidR="00ED5131">
        <w:rPr>
          <w:rFonts w:ascii="Arial" w:hAnsi="Arial" w:cs="Arial"/>
        </w:rPr>
        <w:t xml:space="preserve">n expert in </w:t>
      </w:r>
      <w:r>
        <w:rPr>
          <w:rFonts w:ascii="Arial" w:hAnsi="Arial" w:cs="Arial"/>
          <w:i/>
        </w:rPr>
        <w:t>xxx</w:t>
      </w:r>
      <w:r w:rsidRPr="00930AAF">
        <w:rPr>
          <w:rFonts w:ascii="Arial" w:hAnsi="Arial" w:cs="Arial"/>
        </w:rPr>
        <w:t xml:space="preserve"> (</w:t>
      </w:r>
      <w:r w:rsidRPr="000B3EEE">
        <w:rPr>
          <w:rFonts w:ascii="Arial" w:hAnsi="Arial" w:cs="Arial"/>
          <w:i/>
        </w:rPr>
        <w:t>describe the expertise most important for evaluating the anticipated adverse events</w:t>
      </w:r>
      <w:r>
        <w:rPr>
          <w:rFonts w:ascii="Arial" w:hAnsi="Arial" w:cs="Arial"/>
        </w:rPr>
        <w:t>).</w:t>
      </w:r>
      <w:r w:rsidRPr="00930AAF">
        <w:rPr>
          <w:rFonts w:ascii="Arial" w:hAnsi="Arial" w:cs="Arial"/>
        </w:rPr>
        <w:t xml:space="preserve"> </w:t>
      </w:r>
      <w:r w:rsidR="00AB2E63">
        <w:rPr>
          <w:rFonts w:ascii="Arial" w:hAnsi="Arial" w:cs="Arial"/>
        </w:rPr>
        <w:t xml:space="preserve">The DSMB will consists of at least </w:t>
      </w:r>
      <w:r w:rsidR="00AB2E63" w:rsidRPr="000B3EEE">
        <w:rPr>
          <w:rFonts w:ascii="Arial" w:hAnsi="Arial" w:cs="Arial"/>
          <w:i/>
        </w:rPr>
        <w:t xml:space="preserve">three/five/seven </w:t>
      </w:r>
      <w:r w:rsidR="00AB2E63" w:rsidRPr="00AB2E63">
        <w:rPr>
          <w:rFonts w:ascii="Arial" w:hAnsi="Arial" w:cs="Arial"/>
        </w:rPr>
        <w:t>members including, at minimum, one content-related or therapeutic area expert and a biostatistician</w:t>
      </w:r>
      <w:r w:rsidR="00241303">
        <w:rPr>
          <w:rFonts w:ascii="Arial" w:hAnsi="Arial" w:cs="Arial"/>
        </w:rPr>
        <w:t xml:space="preserve"> (</w:t>
      </w:r>
      <w:r w:rsidR="00241303" w:rsidRPr="000B3EEE">
        <w:rPr>
          <w:rFonts w:ascii="Arial" w:hAnsi="Arial" w:cs="Arial"/>
          <w:i/>
        </w:rPr>
        <w:t xml:space="preserve">do not </w:t>
      </w:r>
      <w:r w:rsidR="00E07536">
        <w:rPr>
          <w:rFonts w:ascii="Arial" w:hAnsi="Arial" w:cs="Arial"/>
          <w:i/>
        </w:rPr>
        <w:t>include</w:t>
      </w:r>
      <w:r w:rsidR="00241303" w:rsidRPr="000B3EEE">
        <w:rPr>
          <w:rFonts w:ascii="Arial" w:hAnsi="Arial" w:cs="Arial"/>
          <w:i/>
        </w:rPr>
        <w:t xml:space="preserve"> the name(s) of the ISM/ DSMB members in the grant application</w:t>
      </w:r>
      <w:r w:rsidR="00241303">
        <w:rPr>
          <w:rFonts w:ascii="Arial" w:hAnsi="Arial" w:cs="Arial"/>
        </w:rPr>
        <w:t>)</w:t>
      </w:r>
      <w:r w:rsidR="00AB2E63" w:rsidRPr="00AB2E63">
        <w:rPr>
          <w:rFonts w:ascii="Arial" w:hAnsi="Arial" w:cs="Arial"/>
        </w:rPr>
        <w:t>.</w:t>
      </w:r>
      <w:r w:rsidR="007C1521">
        <w:rPr>
          <w:rFonts w:ascii="Arial" w:hAnsi="Arial" w:cs="Arial"/>
        </w:rPr>
        <w:t xml:space="preserve"> </w:t>
      </w:r>
    </w:p>
    <w:p w:rsidR="00AB2E63" w:rsidRDefault="00AB2E63" w:rsidP="000B3EEE">
      <w:pPr>
        <w:pStyle w:val="ListParagraph"/>
        <w:spacing w:line="240" w:lineRule="exact"/>
        <w:ind w:left="360"/>
        <w:rPr>
          <w:rFonts w:ascii="Arial" w:hAnsi="Arial" w:cs="Arial"/>
        </w:rPr>
      </w:pPr>
    </w:p>
    <w:p w:rsidR="00AB2E63" w:rsidRPr="000B3EEE" w:rsidRDefault="00AB2E63" w:rsidP="000B3EEE">
      <w:pPr>
        <w:pStyle w:val="ListParagraph"/>
        <w:spacing w:line="240" w:lineRule="exact"/>
        <w:ind w:left="360"/>
        <w:rPr>
          <w:rFonts w:ascii="Arial" w:hAnsi="Arial" w:cs="Arial"/>
          <w:i/>
        </w:rPr>
      </w:pPr>
      <w:r w:rsidRPr="000B3EEE">
        <w:rPr>
          <w:rFonts w:ascii="Arial" w:hAnsi="Arial" w:cs="Arial"/>
          <w:i/>
        </w:rPr>
        <w:t>Independence</w:t>
      </w:r>
    </w:p>
    <w:p w:rsidR="00930AAF" w:rsidRDefault="00930AAF" w:rsidP="000B3EEE">
      <w:pPr>
        <w:pStyle w:val="ListParagraph"/>
        <w:spacing w:line="240" w:lineRule="exact"/>
        <w:ind w:left="360"/>
        <w:rPr>
          <w:rFonts w:ascii="Arial" w:hAnsi="Arial" w:cs="Arial"/>
          <w:i/>
        </w:rPr>
      </w:pPr>
      <w:r w:rsidRPr="000B3EEE">
        <w:rPr>
          <w:rFonts w:ascii="Arial" w:hAnsi="Arial" w:cs="Arial"/>
          <w:i/>
        </w:rPr>
        <w:t>The ISM</w:t>
      </w:r>
      <w:r w:rsidR="00AB2E63">
        <w:rPr>
          <w:rFonts w:ascii="Arial" w:hAnsi="Arial" w:cs="Arial"/>
          <w:i/>
        </w:rPr>
        <w:t>/ DSMB</w:t>
      </w:r>
      <w:r w:rsidRPr="000B3EEE">
        <w:rPr>
          <w:rFonts w:ascii="Arial" w:hAnsi="Arial" w:cs="Arial"/>
          <w:i/>
        </w:rPr>
        <w:t xml:space="preserve"> must be independent from any professional or financial conflict of interest with the research project and/or the study investigator.  Independence ensures that competing interests do not unduly influence the ISM</w:t>
      </w:r>
      <w:r w:rsidR="00AB2E63">
        <w:rPr>
          <w:rFonts w:ascii="Arial" w:hAnsi="Arial" w:cs="Arial"/>
          <w:i/>
        </w:rPr>
        <w:t>/ DSMB</w:t>
      </w:r>
      <w:r w:rsidRPr="000B3EEE">
        <w:rPr>
          <w:rFonts w:ascii="Arial" w:hAnsi="Arial" w:cs="Arial"/>
          <w:i/>
        </w:rPr>
        <w:t xml:space="preserve"> and supports objectivity that enhances the safety of participants and the integrity of the trial data.  In general, the ISM may be affiliated with the investigator's institution or other participating sites, but cannot be a scientific collaborator or co-author, supervisor, mentor/mentee, subordinate of the investigators, or a member of the investigator’s institutional departme</w:t>
      </w:r>
      <w:r w:rsidR="00C10772" w:rsidRPr="000B3EEE">
        <w:rPr>
          <w:rFonts w:ascii="Arial" w:hAnsi="Arial" w:cs="Arial"/>
          <w:i/>
        </w:rPr>
        <w:t>nt within the last three years. Compensation for the ISM</w:t>
      </w:r>
      <w:r w:rsidR="00393024">
        <w:rPr>
          <w:rFonts w:ascii="Arial" w:hAnsi="Arial" w:cs="Arial"/>
          <w:i/>
        </w:rPr>
        <w:t>/ DSMB members</w:t>
      </w:r>
      <w:r w:rsidR="00C10772" w:rsidRPr="000B3EEE">
        <w:rPr>
          <w:rFonts w:ascii="Arial" w:hAnsi="Arial" w:cs="Arial"/>
          <w:i/>
        </w:rPr>
        <w:t xml:space="preserve"> should be included in the budget. </w:t>
      </w:r>
    </w:p>
    <w:p w:rsidR="00C10772" w:rsidRDefault="00C10772" w:rsidP="000B3EEE">
      <w:pPr>
        <w:pStyle w:val="ListParagraph"/>
        <w:spacing w:line="240" w:lineRule="exact"/>
        <w:ind w:left="360"/>
        <w:rPr>
          <w:rFonts w:ascii="Arial" w:hAnsi="Arial" w:cs="Arial"/>
          <w:i/>
        </w:rPr>
      </w:pPr>
    </w:p>
    <w:p w:rsidR="00AB2E63" w:rsidRPr="000B3EEE" w:rsidRDefault="00AB2E63" w:rsidP="000B3EEE">
      <w:pPr>
        <w:pStyle w:val="ListParagraph"/>
        <w:spacing w:line="240" w:lineRule="exact"/>
        <w:ind w:left="360"/>
        <w:rPr>
          <w:rFonts w:ascii="Arial" w:hAnsi="Arial" w:cs="Arial"/>
          <w:i/>
        </w:rPr>
      </w:pPr>
      <w:r w:rsidRPr="00AB2E63">
        <w:rPr>
          <w:rFonts w:ascii="Arial" w:hAnsi="Arial" w:cs="Arial"/>
          <w:i/>
        </w:rPr>
        <w:t>Responsibilities and Review</w:t>
      </w:r>
    </w:p>
    <w:p w:rsidR="00AB2E63" w:rsidRPr="000B3EEE" w:rsidRDefault="00C10772" w:rsidP="000B3EEE">
      <w:pPr>
        <w:pStyle w:val="ListParagraph"/>
        <w:spacing w:line="240" w:lineRule="exact"/>
        <w:ind w:left="360"/>
        <w:rPr>
          <w:rFonts w:ascii="Arial" w:hAnsi="Arial" w:cs="Arial"/>
          <w:i/>
        </w:rPr>
      </w:pPr>
      <w:r>
        <w:rPr>
          <w:rFonts w:ascii="Arial" w:hAnsi="Arial" w:cs="Arial"/>
        </w:rPr>
        <w:t>T</w:t>
      </w:r>
      <w:r w:rsidR="00930AAF" w:rsidRPr="00930AAF">
        <w:rPr>
          <w:rFonts w:ascii="Arial" w:hAnsi="Arial" w:cs="Arial"/>
        </w:rPr>
        <w:t>he ISM</w:t>
      </w:r>
      <w:r w:rsidR="00AB2E63">
        <w:rPr>
          <w:rFonts w:ascii="Arial" w:hAnsi="Arial" w:cs="Arial"/>
        </w:rPr>
        <w:t>/ DSMB</w:t>
      </w:r>
      <w:r w:rsidR="00930AAF" w:rsidRPr="00930AAF">
        <w:rPr>
          <w:rFonts w:ascii="Arial" w:hAnsi="Arial" w:cs="Arial"/>
        </w:rPr>
        <w:t xml:space="preserve"> will review the </w:t>
      </w:r>
      <w:r w:rsidR="00AB2E63">
        <w:rPr>
          <w:rFonts w:ascii="Arial" w:hAnsi="Arial" w:cs="Arial"/>
        </w:rPr>
        <w:t>DSMP, the protocol and consent</w:t>
      </w:r>
      <w:r w:rsidR="00421B31">
        <w:rPr>
          <w:rFonts w:ascii="Arial" w:hAnsi="Arial" w:cs="Arial"/>
        </w:rPr>
        <w:t>(</w:t>
      </w:r>
      <w:r w:rsidR="00AB2E63">
        <w:rPr>
          <w:rFonts w:ascii="Arial" w:hAnsi="Arial" w:cs="Arial"/>
        </w:rPr>
        <w:t>s</w:t>
      </w:r>
      <w:r w:rsidR="00421B31">
        <w:rPr>
          <w:rFonts w:ascii="Arial" w:hAnsi="Arial" w:cs="Arial"/>
        </w:rPr>
        <w:t>)</w:t>
      </w:r>
      <w:r w:rsidR="00AB2E63">
        <w:rPr>
          <w:rFonts w:ascii="Arial" w:hAnsi="Arial" w:cs="Arial"/>
        </w:rPr>
        <w:t xml:space="preserve"> </w:t>
      </w:r>
      <w:r w:rsidR="00930AAF" w:rsidRPr="00930AAF">
        <w:rPr>
          <w:rFonts w:ascii="Arial" w:hAnsi="Arial" w:cs="Arial"/>
        </w:rPr>
        <w:t xml:space="preserve">prior to </w:t>
      </w:r>
      <w:r>
        <w:rPr>
          <w:rFonts w:ascii="Arial" w:hAnsi="Arial" w:cs="Arial"/>
        </w:rPr>
        <w:t>the enrollment of the first subject. The ISM</w:t>
      </w:r>
      <w:r w:rsidR="00AB2E63">
        <w:rPr>
          <w:rFonts w:ascii="Arial" w:hAnsi="Arial" w:cs="Arial"/>
        </w:rPr>
        <w:t>/ DSMB</w:t>
      </w:r>
      <w:r>
        <w:rPr>
          <w:rFonts w:ascii="Arial" w:hAnsi="Arial" w:cs="Arial"/>
        </w:rPr>
        <w:t xml:space="preserve"> </w:t>
      </w:r>
      <w:r w:rsidR="00930AAF" w:rsidRPr="00930AAF">
        <w:rPr>
          <w:rFonts w:ascii="Arial" w:hAnsi="Arial" w:cs="Arial"/>
        </w:rPr>
        <w:t>may ma</w:t>
      </w:r>
      <w:r>
        <w:rPr>
          <w:rFonts w:ascii="Arial" w:hAnsi="Arial" w:cs="Arial"/>
        </w:rPr>
        <w:t>ke recommendations to the PI about amending these documents. The ISM</w:t>
      </w:r>
      <w:r w:rsidR="00AB2E63">
        <w:rPr>
          <w:rFonts w:ascii="Arial" w:hAnsi="Arial" w:cs="Arial"/>
        </w:rPr>
        <w:t>/ DSMB</w:t>
      </w:r>
      <w:r>
        <w:rPr>
          <w:rFonts w:ascii="Arial" w:hAnsi="Arial" w:cs="Arial"/>
        </w:rPr>
        <w:t xml:space="preserve"> </w:t>
      </w:r>
      <w:r w:rsidR="00AB2E63">
        <w:rPr>
          <w:rFonts w:ascii="Arial" w:hAnsi="Arial" w:cs="Arial"/>
        </w:rPr>
        <w:t xml:space="preserve">will review, at a minimum, </w:t>
      </w:r>
      <w:r>
        <w:rPr>
          <w:rFonts w:ascii="Arial" w:hAnsi="Arial" w:cs="Arial"/>
        </w:rPr>
        <w:t>the followi</w:t>
      </w:r>
      <w:r w:rsidR="00AB2E63">
        <w:rPr>
          <w:rFonts w:ascii="Arial" w:hAnsi="Arial" w:cs="Arial"/>
        </w:rPr>
        <w:t xml:space="preserve">ng data: </w:t>
      </w:r>
      <w:r w:rsidR="00930AAF" w:rsidRPr="000B3EEE">
        <w:rPr>
          <w:rFonts w:ascii="Arial" w:hAnsi="Arial" w:cs="Arial"/>
          <w:i/>
        </w:rPr>
        <w:t>enrollment da</w:t>
      </w:r>
      <w:r w:rsidR="00AB2E63">
        <w:rPr>
          <w:rFonts w:ascii="Arial" w:hAnsi="Arial" w:cs="Arial"/>
          <w:i/>
        </w:rPr>
        <w:t>ta, safety data (</w:t>
      </w:r>
      <w:r w:rsidR="00DC2EA9">
        <w:rPr>
          <w:rFonts w:ascii="Arial" w:hAnsi="Arial" w:cs="Arial"/>
          <w:i/>
        </w:rPr>
        <w:t>every RELATED SAE</w:t>
      </w:r>
      <w:r w:rsidR="007C1521">
        <w:rPr>
          <w:rFonts w:ascii="Arial" w:hAnsi="Arial" w:cs="Arial"/>
          <w:i/>
        </w:rPr>
        <w:t>s? SAEs of concerns?</w:t>
      </w:r>
      <w:r w:rsidR="00DC2EA9">
        <w:rPr>
          <w:rFonts w:ascii="Arial" w:hAnsi="Arial" w:cs="Arial"/>
          <w:i/>
        </w:rPr>
        <w:t>)</w:t>
      </w:r>
      <w:r w:rsidR="00AB2E63">
        <w:rPr>
          <w:rFonts w:ascii="Arial" w:hAnsi="Arial" w:cs="Arial"/>
          <w:i/>
        </w:rPr>
        <w:t>, data integrity.</w:t>
      </w:r>
      <w:r w:rsidR="00930AAF" w:rsidRPr="000B3EEE">
        <w:rPr>
          <w:rFonts w:ascii="Arial" w:hAnsi="Arial" w:cs="Arial"/>
          <w:i/>
        </w:rPr>
        <w:t xml:space="preserve"> </w:t>
      </w:r>
      <w:r w:rsidR="00AB2E63" w:rsidRPr="000B3EEE">
        <w:rPr>
          <w:rFonts w:ascii="Arial" w:hAnsi="Arial" w:cs="Arial"/>
          <w:i/>
        </w:rPr>
        <w:t xml:space="preserve">For blinded studies, the ISM or DSMB may be blinded or </w:t>
      </w:r>
      <w:proofErr w:type="spellStart"/>
      <w:r w:rsidR="00AB2E63" w:rsidRPr="000B3EEE">
        <w:rPr>
          <w:rFonts w:ascii="Arial" w:hAnsi="Arial" w:cs="Arial"/>
          <w:i/>
        </w:rPr>
        <w:t>unblinded</w:t>
      </w:r>
      <w:proofErr w:type="spellEnd"/>
      <w:r w:rsidR="00AB2E63" w:rsidRPr="000B3EEE">
        <w:rPr>
          <w:rFonts w:ascii="Arial" w:hAnsi="Arial" w:cs="Arial"/>
          <w:i/>
        </w:rPr>
        <w:t xml:space="preserve"> to the intervention assignment, but must be able to be </w:t>
      </w:r>
      <w:proofErr w:type="spellStart"/>
      <w:r w:rsidR="00AB2E63" w:rsidRPr="000B3EEE">
        <w:rPr>
          <w:rFonts w:ascii="Arial" w:hAnsi="Arial" w:cs="Arial"/>
          <w:i/>
        </w:rPr>
        <w:t>unblinded</w:t>
      </w:r>
      <w:proofErr w:type="spellEnd"/>
      <w:r w:rsidR="00AB2E63" w:rsidRPr="000B3EEE">
        <w:rPr>
          <w:rFonts w:ascii="Arial" w:hAnsi="Arial" w:cs="Arial"/>
          <w:i/>
        </w:rPr>
        <w:t xml:space="preserve"> if needed.</w:t>
      </w:r>
      <w:r w:rsidR="00421B31">
        <w:rPr>
          <w:rFonts w:ascii="Arial" w:hAnsi="Arial" w:cs="Arial"/>
          <w:i/>
        </w:rPr>
        <w:t xml:space="preserve"> </w:t>
      </w:r>
      <w:r w:rsidR="00421B31" w:rsidRPr="00421B31">
        <w:rPr>
          <w:rFonts w:ascii="Arial" w:hAnsi="Arial" w:cs="Arial"/>
          <w:i/>
        </w:rPr>
        <w:t>The monitoring responsibilities of the ISM and DSMB enhance, but do not replace, the monitoring responsibilities of the Principal Investigator (PI) and the IRB.</w:t>
      </w:r>
    </w:p>
    <w:p w:rsidR="00930AAF" w:rsidRDefault="00930AAF" w:rsidP="000B3EEE">
      <w:pPr>
        <w:pStyle w:val="ListParagraph"/>
        <w:spacing w:line="240" w:lineRule="exact"/>
        <w:ind w:left="360"/>
        <w:rPr>
          <w:rFonts w:ascii="Arial" w:hAnsi="Arial" w:cs="Arial"/>
        </w:rPr>
      </w:pPr>
    </w:p>
    <w:p w:rsidR="00DC2EA9" w:rsidRPr="000B3EEE" w:rsidRDefault="00DC2EA9" w:rsidP="000B3EEE">
      <w:pPr>
        <w:pStyle w:val="ListParagraph"/>
        <w:spacing w:line="240" w:lineRule="exact"/>
        <w:ind w:left="360"/>
        <w:rPr>
          <w:rFonts w:ascii="Arial" w:hAnsi="Arial" w:cs="Arial"/>
          <w:i/>
        </w:rPr>
      </w:pPr>
      <w:r w:rsidRPr="000B3EEE">
        <w:rPr>
          <w:rFonts w:ascii="Arial" w:hAnsi="Arial" w:cs="Arial"/>
          <w:i/>
        </w:rPr>
        <w:t>Review Schedule and Monitoring Reports</w:t>
      </w:r>
    </w:p>
    <w:p w:rsidR="00DC2EA9" w:rsidRDefault="00930AAF" w:rsidP="000B3EEE">
      <w:pPr>
        <w:pStyle w:val="ListParagraph"/>
        <w:spacing w:line="240" w:lineRule="exact"/>
        <w:ind w:left="360"/>
        <w:rPr>
          <w:rFonts w:ascii="Arial" w:hAnsi="Arial" w:cs="Arial"/>
          <w:i/>
        </w:rPr>
      </w:pPr>
      <w:r w:rsidRPr="000B3EEE">
        <w:rPr>
          <w:rFonts w:ascii="Arial" w:hAnsi="Arial" w:cs="Arial"/>
          <w:i/>
        </w:rPr>
        <w:t>The meeting/review schedule should be commensurate with the level of risk involved with the study, but should occur no less than once per year</w:t>
      </w:r>
      <w:r w:rsidR="00EF374E">
        <w:rPr>
          <w:rFonts w:ascii="Arial" w:hAnsi="Arial" w:cs="Arial"/>
          <w:i/>
        </w:rPr>
        <w:t xml:space="preserve"> (The exact meeting frequency is best described in the protocol / the DSMB charter)</w:t>
      </w:r>
      <w:r w:rsidRPr="000B3EEE">
        <w:rPr>
          <w:rFonts w:ascii="Arial" w:hAnsi="Arial" w:cs="Arial"/>
          <w:i/>
        </w:rPr>
        <w:t xml:space="preserve">.  Additional reports may be requested and additional meetings may be called as needed to address issues regarding participant safety. </w:t>
      </w:r>
      <w:r w:rsidR="00DC2EA9" w:rsidRPr="00DC2EA9">
        <w:rPr>
          <w:rFonts w:ascii="Arial" w:hAnsi="Arial" w:cs="Arial"/>
          <w:i/>
        </w:rPr>
        <w:t>Members of the investigative team may be present for the open portion of a meeting, but not for the closed deliberations or the vote to recommend continuation, suspension, or termination of the study</w:t>
      </w:r>
    </w:p>
    <w:p w:rsidR="00DC2EA9" w:rsidRDefault="00DC2EA9" w:rsidP="000B3EEE">
      <w:pPr>
        <w:pStyle w:val="ListParagraph"/>
        <w:spacing w:line="240" w:lineRule="exact"/>
        <w:ind w:left="360"/>
        <w:rPr>
          <w:rFonts w:ascii="Arial" w:hAnsi="Arial" w:cs="Arial"/>
          <w:i/>
        </w:rPr>
      </w:pPr>
    </w:p>
    <w:p w:rsidR="006A0DC8" w:rsidRDefault="00DC2EA9" w:rsidP="000B3EEE">
      <w:pPr>
        <w:pStyle w:val="ListParagraph"/>
        <w:spacing w:line="240" w:lineRule="exact"/>
        <w:ind w:left="360"/>
        <w:rPr>
          <w:rFonts w:ascii="Arial" w:hAnsi="Arial" w:cs="Arial"/>
          <w:i/>
        </w:rPr>
      </w:pPr>
      <w:r>
        <w:rPr>
          <w:rFonts w:ascii="Arial" w:hAnsi="Arial" w:cs="Arial"/>
          <w:i/>
        </w:rPr>
        <w:t>The ISM/</w:t>
      </w:r>
      <w:r w:rsidRPr="00DC2EA9">
        <w:rPr>
          <w:rFonts w:ascii="Arial" w:hAnsi="Arial" w:cs="Arial"/>
          <w:i/>
        </w:rPr>
        <w:t xml:space="preserve"> DSMB is expected to issue a monitoring report to the PI following each review/meeting. This report should include any significant actions taken and the final recommendation(s) with regard to the study’s continuation. These reports </w:t>
      </w:r>
      <w:r w:rsidR="005528E2">
        <w:rPr>
          <w:rFonts w:ascii="Arial" w:hAnsi="Arial" w:cs="Arial"/>
          <w:i/>
        </w:rPr>
        <w:t>may need to</w:t>
      </w:r>
      <w:r w:rsidRPr="00DC2EA9">
        <w:rPr>
          <w:rFonts w:ascii="Arial" w:hAnsi="Arial" w:cs="Arial"/>
          <w:i/>
        </w:rPr>
        <w:t xml:space="preserve"> be submitted to the </w:t>
      </w:r>
      <w:r w:rsidR="005528E2">
        <w:rPr>
          <w:rFonts w:ascii="Arial" w:hAnsi="Arial" w:cs="Arial"/>
          <w:i/>
        </w:rPr>
        <w:t xml:space="preserve">NIH </w:t>
      </w:r>
      <w:r w:rsidRPr="00DC2EA9">
        <w:rPr>
          <w:rFonts w:ascii="Arial" w:hAnsi="Arial" w:cs="Arial"/>
          <w:i/>
        </w:rPr>
        <w:t>annual progress report.</w:t>
      </w:r>
    </w:p>
    <w:p w:rsidR="00DC2EA9" w:rsidRDefault="00DC2EA9" w:rsidP="000B3EEE">
      <w:pPr>
        <w:pStyle w:val="ListParagraph"/>
        <w:spacing w:line="240" w:lineRule="exact"/>
        <w:ind w:left="360"/>
        <w:rPr>
          <w:rFonts w:ascii="Arial" w:hAnsi="Arial" w:cs="Arial"/>
          <w:i/>
        </w:rPr>
      </w:pPr>
      <w:bookmarkStart w:id="0" w:name="_GoBack"/>
      <w:bookmarkEnd w:id="0"/>
    </w:p>
    <w:p w:rsidR="00DC2EA9" w:rsidRPr="000B3EEE" w:rsidRDefault="00DC2EA9" w:rsidP="000B3EEE">
      <w:pPr>
        <w:pStyle w:val="ListParagraph"/>
        <w:spacing w:line="240" w:lineRule="exact"/>
        <w:ind w:left="360"/>
        <w:rPr>
          <w:rFonts w:ascii="Arial" w:hAnsi="Arial" w:cs="Arial"/>
          <w:i/>
        </w:rPr>
      </w:pPr>
      <w:r>
        <w:rPr>
          <w:rFonts w:ascii="Arial" w:hAnsi="Arial" w:cs="Arial"/>
          <w:i/>
        </w:rPr>
        <w:lastRenderedPageBreak/>
        <w:t xml:space="preserve">For additional information about DSMB, please see </w:t>
      </w:r>
      <w:r w:rsidR="005528E2">
        <w:rPr>
          <w:rFonts w:ascii="Arial" w:hAnsi="Arial" w:cs="Arial"/>
          <w:i/>
        </w:rPr>
        <w:t xml:space="preserve">this </w:t>
      </w:r>
      <w:hyperlink r:id="rId9" w:anchor="/resource/1583" w:history="1">
        <w:r w:rsidRPr="000B3EEE">
          <w:rPr>
            <w:rStyle w:val="Hyperlink"/>
            <w:rFonts w:ascii="Arial" w:hAnsi="Arial" w:cs="Arial"/>
            <w:i/>
          </w:rPr>
          <w:t xml:space="preserve">iTHRIV portal </w:t>
        </w:r>
        <w:r w:rsidR="000B3EEE" w:rsidRPr="000B3EEE">
          <w:rPr>
            <w:rStyle w:val="Hyperlink"/>
            <w:rFonts w:ascii="Arial" w:hAnsi="Arial" w:cs="Arial"/>
            <w:i/>
          </w:rPr>
          <w:t>page</w:t>
        </w:r>
      </w:hyperlink>
      <w:r w:rsidRPr="000B3EEE">
        <w:rPr>
          <w:rFonts w:ascii="Arial" w:hAnsi="Arial" w:cs="Arial"/>
          <w:i/>
        </w:rPr>
        <w:t>.</w:t>
      </w:r>
    </w:p>
    <w:sectPr w:rsidR="00DC2EA9" w:rsidRPr="000B3EE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0EC" w:rsidRDefault="003350EC" w:rsidP="003350EC">
      <w:pPr>
        <w:spacing w:after="0" w:line="240" w:lineRule="auto"/>
      </w:pPr>
      <w:r>
        <w:separator/>
      </w:r>
    </w:p>
  </w:endnote>
  <w:endnote w:type="continuationSeparator" w:id="0">
    <w:p w:rsidR="003350EC" w:rsidRDefault="003350EC" w:rsidP="00335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0EC" w:rsidRDefault="003350EC">
    <w:pPr>
      <w:pStyle w:val="Footer"/>
      <w:rPr>
        <w:rFonts w:ascii="Arial" w:hAnsi="Arial" w:cs="Arial"/>
        <w:color w:val="000000"/>
        <w:sz w:val="18"/>
        <w:szCs w:val="18"/>
      </w:rPr>
    </w:pPr>
    <w:proofErr w:type="gramStart"/>
    <w:r w:rsidRPr="00820EAA">
      <w:rPr>
        <w:rFonts w:ascii="Arial" w:hAnsi="Arial" w:cs="Arial"/>
        <w:color w:val="000000"/>
        <w:sz w:val="18"/>
        <w:szCs w:val="18"/>
      </w:rPr>
      <w:t>iTHRIV</w:t>
    </w:r>
    <w:proofErr w:type="gramEnd"/>
    <w:r w:rsidRPr="00820EAA">
      <w:rPr>
        <w:rFonts w:ascii="Arial" w:hAnsi="Arial" w:cs="Arial"/>
        <w:color w:val="000000"/>
        <w:sz w:val="18"/>
        <w:szCs w:val="18"/>
      </w:rPr>
      <w:t xml:space="preserve"> is funded by the National Center for Advancing Translational Science of the National Institutes of Health,  Award UL1TR003015/ KL2TR003016</w:t>
    </w:r>
  </w:p>
  <w:p w:rsidR="00276BA7" w:rsidRPr="003350EC" w:rsidRDefault="000B3EEE">
    <w:pPr>
      <w:pStyle w:val="Footer"/>
      <w:rPr>
        <w:rFonts w:ascii="Arial" w:hAnsi="Arial" w:cs="Arial"/>
        <w:sz w:val="18"/>
        <w:szCs w:val="18"/>
      </w:rPr>
    </w:pPr>
    <w:r>
      <w:rPr>
        <w:rFonts w:ascii="Arial" w:hAnsi="Arial" w:cs="Arial"/>
        <w:color w:val="000000"/>
        <w:sz w:val="18"/>
        <w:szCs w:val="18"/>
      </w:rPr>
      <w:t>Version Date: 11/23</w:t>
    </w:r>
    <w:r w:rsidR="00276BA7">
      <w:rPr>
        <w:rFonts w:ascii="Arial" w:hAnsi="Arial" w:cs="Arial"/>
        <w:color w:val="000000"/>
        <w:sz w:val="18"/>
        <w:szCs w:val="18"/>
      </w:rPr>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0EC" w:rsidRDefault="003350EC" w:rsidP="003350EC">
      <w:pPr>
        <w:spacing w:after="0" w:line="240" w:lineRule="auto"/>
      </w:pPr>
      <w:r>
        <w:separator/>
      </w:r>
    </w:p>
  </w:footnote>
  <w:footnote w:type="continuationSeparator" w:id="0">
    <w:p w:rsidR="003350EC" w:rsidRDefault="003350EC" w:rsidP="003350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06C7"/>
    <w:multiLevelType w:val="multilevel"/>
    <w:tmpl w:val="726A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64475"/>
    <w:multiLevelType w:val="multilevel"/>
    <w:tmpl w:val="193E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904A7"/>
    <w:multiLevelType w:val="hybridMultilevel"/>
    <w:tmpl w:val="722A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37C8D"/>
    <w:multiLevelType w:val="hybridMultilevel"/>
    <w:tmpl w:val="5AE8E4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0E01DAC"/>
    <w:multiLevelType w:val="multilevel"/>
    <w:tmpl w:val="0E1CA1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5ACA51BE"/>
    <w:multiLevelType w:val="hybridMultilevel"/>
    <w:tmpl w:val="58AAF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6484A"/>
    <w:multiLevelType w:val="multilevel"/>
    <w:tmpl w:val="FDE61684"/>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 w15:restartNumberingAfterBreak="0">
    <w:nsid w:val="5DB5253C"/>
    <w:multiLevelType w:val="hybridMultilevel"/>
    <w:tmpl w:val="E0CA2D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6A5A21"/>
    <w:multiLevelType w:val="hybridMultilevel"/>
    <w:tmpl w:val="28D6E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41E7EEE"/>
    <w:multiLevelType w:val="hybridMultilevel"/>
    <w:tmpl w:val="B79C4A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B4602A3"/>
    <w:multiLevelType w:val="multilevel"/>
    <w:tmpl w:val="9F5058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3"/>
  </w:num>
  <w:num w:numId="2">
    <w:abstractNumId w:val="8"/>
  </w:num>
  <w:num w:numId="3">
    <w:abstractNumId w:val="2"/>
  </w:num>
  <w:num w:numId="4">
    <w:abstractNumId w:val="0"/>
    <w:lvlOverride w:ilvl="0">
      <w:startOverride w:val="1"/>
    </w:lvlOverride>
  </w:num>
  <w:num w:numId="5">
    <w:abstractNumId w:val="0"/>
    <w:lvlOverride w:ilvl="0">
      <w:startOverride w:val="2"/>
    </w:lvlOverride>
  </w:num>
  <w:num w:numId="6">
    <w:abstractNumId w:val="9"/>
  </w:num>
  <w:num w:numId="7">
    <w:abstractNumId w:val="7"/>
  </w:num>
  <w:num w:numId="8">
    <w:abstractNumId w:val="6"/>
  </w:num>
  <w:num w:numId="9">
    <w:abstractNumId w:val="1"/>
    <w:lvlOverride w:ilvl="0">
      <w:startOverride w:val="4"/>
    </w:lvlOverride>
  </w:num>
  <w:num w:numId="10">
    <w:abstractNumId w:val="4"/>
    <w:lvlOverride w:ilvl="0">
      <w:startOverride w:val="1"/>
    </w:lvlOverride>
  </w:num>
  <w:num w:numId="11">
    <w:abstractNumId w:val="4"/>
    <w:lvlOverride w:ilvl="0">
      <w:startOverride w:val="2"/>
    </w:lvlOverride>
  </w:num>
  <w:num w:numId="12">
    <w:abstractNumId w:val="4"/>
    <w:lvlOverride w:ilvl="0">
      <w:startOverride w:val="3"/>
    </w:lvlOverride>
  </w:num>
  <w:num w:numId="13">
    <w:abstractNumId w:val="4"/>
    <w:lvlOverride w:ilvl="0">
      <w:startOverride w:val="4"/>
    </w:lvlOverride>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CFC"/>
    <w:rsid w:val="000363A9"/>
    <w:rsid w:val="00051CAC"/>
    <w:rsid w:val="00053FF9"/>
    <w:rsid w:val="00060140"/>
    <w:rsid w:val="00065CFC"/>
    <w:rsid w:val="000B3EEE"/>
    <w:rsid w:val="00241303"/>
    <w:rsid w:val="002478E4"/>
    <w:rsid w:val="00276BA7"/>
    <w:rsid w:val="002913E4"/>
    <w:rsid w:val="002B6F7E"/>
    <w:rsid w:val="003350EC"/>
    <w:rsid w:val="00393024"/>
    <w:rsid w:val="00421B31"/>
    <w:rsid w:val="00440F30"/>
    <w:rsid w:val="004F1D1E"/>
    <w:rsid w:val="00526931"/>
    <w:rsid w:val="005528E2"/>
    <w:rsid w:val="00647F07"/>
    <w:rsid w:val="006A0DC8"/>
    <w:rsid w:val="006A70F7"/>
    <w:rsid w:val="006A7983"/>
    <w:rsid w:val="00744953"/>
    <w:rsid w:val="00782414"/>
    <w:rsid w:val="007C1521"/>
    <w:rsid w:val="008C0EF1"/>
    <w:rsid w:val="00907C10"/>
    <w:rsid w:val="00930AAF"/>
    <w:rsid w:val="00946CAC"/>
    <w:rsid w:val="00AB2E63"/>
    <w:rsid w:val="00C10772"/>
    <w:rsid w:val="00CC6122"/>
    <w:rsid w:val="00DC2EA9"/>
    <w:rsid w:val="00E07536"/>
    <w:rsid w:val="00ED5131"/>
    <w:rsid w:val="00EF3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A1A08"/>
  <w15:chartTrackingRefBased/>
  <w15:docId w15:val="{32C9035D-ABD6-4FCE-B9B7-A0B82C699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C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CFC"/>
    <w:pPr>
      <w:ind w:left="720"/>
      <w:contextualSpacing/>
    </w:pPr>
  </w:style>
  <w:style w:type="paragraph" w:styleId="NormalWeb">
    <w:name w:val="Normal (Web)"/>
    <w:basedOn w:val="Normal"/>
    <w:uiPriority w:val="99"/>
    <w:semiHidden/>
    <w:unhideWhenUsed/>
    <w:rsid w:val="002913E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269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931"/>
    <w:rPr>
      <w:rFonts w:ascii="Segoe UI" w:hAnsi="Segoe UI" w:cs="Segoe UI"/>
      <w:sz w:val="18"/>
      <w:szCs w:val="18"/>
    </w:rPr>
  </w:style>
  <w:style w:type="paragraph" w:styleId="Header">
    <w:name w:val="header"/>
    <w:basedOn w:val="Normal"/>
    <w:link w:val="HeaderChar"/>
    <w:uiPriority w:val="99"/>
    <w:unhideWhenUsed/>
    <w:rsid w:val="00335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0EC"/>
  </w:style>
  <w:style w:type="paragraph" w:styleId="Footer">
    <w:name w:val="footer"/>
    <w:basedOn w:val="Normal"/>
    <w:link w:val="FooterChar"/>
    <w:uiPriority w:val="99"/>
    <w:unhideWhenUsed/>
    <w:rsid w:val="00335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0EC"/>
  </w:style>
  <w:style w:type="character" w:styleId="Hyperlink">
    <w:name w:val="Hyperlink"/>
    <w:basedOn w:val="DefaultParagraphFont"/>
    <w:uiPriority w:val="99"/>
    <w:unhideWhenUsed/>
    <w:rsid w:val="000B3E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613156">
      <w:bodyDiv w:val="1"/>
      <w:marLeft w:val="0"/>
      <w:marRight w:val="0"/>
      <w:marTop w:val="0"/>
      <w:marBottom w:val="0"/>
      <w:divBdr>
        <w:top w:val="none" w:sz="0" w:space="0" w:color="auto"/>
        <w:left w:val="none" w:sz="0" w:space="0" w:color="auto"/>
        <w:bottom w:val="none" w:sz="0" w:space="0" w:color="auto"/>
        <w:right w:val="none" w:sz="0" w:space="0" w:color="auto"/>
      </w:divBdr>
      <w:divsChild>
        <w:div w:id="2117362073">
          <w:marLeft w:val="0"/>
          <w:marRight w:val="0"/>
          <w:marTop w:val="0"/>
          <w:marBottom w:val="0"/>
          <w:divBdr>
            <w:top w:val="none" w:sz="0" w:space="0" w:color="auto"/>
            <w:left w:val="none" w:sz="0" w:space="0" w:color="auto"/>
            <w:bottom w:val="none" w:sz="0" w:space="0" w:color="auto"/>
            <w:right w:val="none" w:sz="0" w:space="0" w:color="auto"/>
          </w:divBdr>
          <w:divsChild>
            <w:div w:id="91058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2717">
      <w:bodyDiv w:val="1"/>
      <w:marLeft w:val="0"/>
      <w:marRight w:val="0"/>
      <w:marTop w:val="0"/>
      <w:marBottom w:val="0"/>
      <w:divBdr>
        <w:top w:val="none" w:sz="0" w:space="0" w:color="auto"/>
        <w:left w:val="none" w:sz="0" w:space="0" w:color="auto"/>
        <w:bottom w:val="none" w:sz="0" w:space="0" w:color="auto"/>
        <w:right w:val="none" w:sz="0" w:space="0" w:color="auto"/>
      </w:divBdr>
      <w:divsChild>
        <w:div w:id="740174986">
          <w:marLeft w:val="0"/>
          <w:marRight w:val="0"/>
          <w:marTop w:val="0"/>
          <w:marBottom w:val="0"/>
          <w:divBdr>
            <w:top w:val="none" w:sz="0" w:space="0" w:color="auto"/>
            <w:left w:val="none" w:sz="0" w:space="0" w:color="auto"/>
            <w:bottom w:val="none" w:sz="0" w:space="0" w:color="auto"/>
            <w:right w:val="none" w:sz="0" w:space="0" w:color="auto"/>
          </w:divBdr>
          <w:divsChild>
            <w:div w:id="6005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31779">
      <w:bodyDiv w:val="1"/>
      <w:marLeft w:val="0"/>
      <w:marRight w:val="0"/>
      <w:marTop w:val="0"/>
      <w:marBottom w:val="0"/>
      <w:divBdr>
        <w:top w:val="none" w:sz="0" w:space="0" w:color="auto"/>
        <w:left w:val="none" w:sz="0" w:space="0" w:color="auto"/>
        <w:bottom w:val="none" w:sz="0" w:space="0" w:color="auto"/>
        <w:right w:val="none" w:sz="0" w:space="0" w:color="auto"/>
      </w:divBdr>
    </w:div>
    <w:div w:id="1933203523">
      <w:bodyDiv w:val="1"/>
      <w:marLeft w:val="0"/>
      <w:marRight w:val="0"/>
      <w:marTop w:val="0"/>
      <w:marBottom w:val="0"/>
      <w:divBdr>
        <w:top w:val="none" w:sz="0" w:space="0" w:color="auto"/>
        <w:left w:val="none" w:sz="0" w:space="0" w:color="auto"/>
        <w:bottom w:val="none" w:sz="0" w:space="0" w:color="auto"/>
        <w:right w:val="none" w:sz="0" w:space="0" w:color="auto"/>
      </w:divBdr>
    </w:div>
    <w:div w:id="2094619465">
      <w:bodyDiv w:val="1"/>
      <w:marLeft w:val="0"/>
      <w:marRight w:val="0"/>
      <w:marTop w:val="0"/>
      <w:marBottom w:val="0"/>
      <w:divBdr>
        <w:top w:val="none" w:sz="0" w:space="0" w:color="auto"/>
        <w:left w:val="none" w:sz="0" w:space="0" w:color="auto"/>
        <w:bottom w:val="none" w:sz="0" w:space="0" w:color="auto"/>
        <w:right w:val="none" w:sz="0" w:space="0" w:color="auto"/>
      </w:divBdr>
      <w:divsChild>
        <w:div w:id="1561792183">
          <w:marLeft w:val="0"/>
          <w:marRight w:val="0"/>
          <w:marTop w:val="0"/>
          <w:marBottom w:val="0"/>
          <w:divBdr>
            <w:top w:val="none" w:sz="0" w:space="0" w:color="auto"/>
            <w:left w:val="none" w:sz="0" w:space="0" w:color="auto"/>
            <w:bottom w:val="none" w:sz="0" w:space="0" w:color="auto"/>
            <w:right w:val="none" w:sz="0" w:space="0" w:color="auto"/>
          </w:divBdr>
          <w:divsChild>
            <w:div w:id="42056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grants/how-to-apply-application-guide/forms-f/general-forms-f.pdf" TargetMode="External"/><Relationship Id="rId3" Type="http://schemas.openxmlformats.org/officeDocument/2006/relationships/settings" Target="settings.xml"/><Relationship Id="rId7" Type="http://schemas.openxmlformats.org/officeDocument/2006/relationships/hyperlink" Target="https://grants.nih.gov/grants/glossary.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rtal.ithri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UVA</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Jennifer V *HS</dc:creator>
  <cp:keywords/>
  <dc:description/>
  <cp:lastModifiedBy>Ng,  Medard *HS</cp:lastModifiedBy>
  <cp:revision>2</cp:revision>
  <dcterms:created xsi:type="dcterms:W3CDTF">2021-11-23T17:25:00Z</dcterms:created>
  <dcterms:modified xsi:type="dcterms:W3CDTF">2021-11-23T17:25:00Z</dcterms:modified>
</cp:coreProperties>
</file>